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B62" w:rsidRDefault="00082B62" w:rsidP="00082B62">
      <w:pPr>
        <w:pStyle w:val="1"/>
      </w:pPr>
      <w:r>
        <w:t>(89-62-3)邻硝基对甲苯胺的理化及危险特性表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025"/>
        <w:gridCol w:w="2474"/>
        <w:gridCol w:w="2182"/>
      </w:tblGrid>
      <w:tr w:rsidR="00082B62"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标</w:t>
            </w:r>
          </w:p>
          <w:p w:rsidR="00082B62" w:rsidRDefault="00082B62" w:rsidP="0090435F">
            <w:pPr>
              <w:spacing w:line="284" w:lineRule="exact"/>
              <w:rPr>
                <w:rFonts w:ascii="宋体" w:hAnsi="宋体"/>
              </w:rPr>
            </w:pPr>
            <w:r>
              <w:rPr>
                <w:rFonts w:ascii="宋体" w:hAnsi="宋体" w:hint="eastAsia"/>
              </w:rPr>
              <w:t>识</w:t>
            </w: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中文名：邻硝基对甲苯胺；</w:t>
            </w:r>
          </w:p>
          <w:p w:rsidR="00082B62" w:rsidRDefault="00082B62" w:rsidP="0090435F">
            <w:pPr>
              <w:spacing w:line="284" w:lineRule="exact"/>
              <w:ind w:firstLineChars="400" w:firstLine="840"/>
              <w:rPr>
                <w:rFonts w:ascii="宋体" w:hAnsi="宋体"/>
              </w:rPr>
            </w:pPr>
            <w:r>
              <w:rPr>
                <w:rFonts w:ascii="宋体" w:hAnsi="宋体" w:hint="eastAsia"/>
              </w:rPr>
              <w:t>2-硝基-4-甲苯胺</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英文名：4-methyl-2-nitroaniline ；</w:t>
            </w:r>
          </w:p>
          <w:p w:rsidR="00082B62" w:rsidRDefault="00082B62" w:rsidP="0090435F">
            <w:pPr>
              <w:spacing w:line="284" w:lineRule="exact"/>
              <w:ind w:firstLineChars="400" w:firstLine="840"/>
              <w:rPr>
                <w:rFonts w:ascii="宋体" w:hAnsi="宋体"/>
              </w:rPr>
            </w:pPr>
            <w:r>
              <w:rPr>
                <w:rFonts w:ascii="宋体" w:hAnsi="宋体" w:hint="eastAsia"/>
              </w:rPr>
              <w:t>2-nitro-4-toluidine </w:t>
            </w:r>
          </w:p>
        </w:tc>
      </w:tr>
      <w:tr w:rsidR="00082B62" w:rsidTr="0090435F">
        <w:trPr>
          <w:cantSplit/>
          <w:jc w:val="center"/>
        </w:trPr>
        <w:tc>
          <w:tcPr>
            <w:tcW w:w="493" w:type="dxa"/>
            <w:vMerge/>
            <w:tcBorders>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8</w:t>
            </w:r>
            <w:r>
              <w:rPr>
                <w:rFonts w:ascii="宋体" w:hAnsi="宋体" w:hint="eastAsia"/>
                <w:szCs w:val="18"/>
              </w:rPr>
              <w:t>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2</w:t>
            </w:r>
          </w:p>
        </w:tc>
        <w:tc>
          <w:tcPr>
            <w:tcW w:w="2474"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分子量：152.15</w:t>
            </w:r>
          </w:p>
        </w:tc>
        <w:tc>
          <w:tcPr>
            <w:tcW w:w="2182"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UN编号：2660</w:t>
            </w:r>
          </w:p>
        </w:tc>
      </w:tr>
      <w:tr w:rsidR="00082B62" w:rsidTr="0090435F">
        <w:trPr>
          <w:cantSplit/>
          <w:jc w:val="center"/>
        </w:trPr>
        <w:tc>
          <w:tcPr>
            <w:tcW w:w="493" w:type="dxa"/>
            <w:vMerge/>
            <w:tcBorders>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危险类别：</w:t>
            </w:r>
            <w:r>
              <w:rPr>
                <w:rFonts w:ascii="宋体" w:hAnsi="宋体" w:hint="eastAsia"/>
                <w:szCs w:val="18"/>
              </w:rPr>
              <w:t>第6.1类  毒害品</w:t>
            </w:r>
          </w:p>
        </w:tc>
        <w:tc>
          <w:tcPr>
            <w:tcW w:w="2474"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危规号： 61779</w:t>
            </w:r>
          </w:p>
        </w:tc>
        <w:tc>
          <w:tcPr>
            <w:tcW w:w="2182"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CAS号：89-62-3</w:t>
            </w:r>
          </w:p>
        </w:tc>
      </w:tr>
      <w:tr w:rsidR="00082B62" w:rsidTr="0090435F">
        <w:trPr>
          <w:cantSplit/>
          <w:jc w:val="center"/>
        </w:trPr>
        <w:tc>
          <w:tcPr>
            <w:tcW w:w="493" w:type="dxa"/>
            <w:vMerge/>
            <w:tcBorders>
              <w:left w:val="single" w:sz="4" w:space="0" w:color="auto"/>
              <w:bottom w:val="nil"/>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 xml:space="preserve">包装标志：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包装类别：</w:t>
            </w:r>
          </w:p>
        </w:tc>
      </w:tr>
      <w:tr w:rsidR="00082B62"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理</w:t>
            </w:r>
          </w:p>
          <w:p w:rsidR="00082B62" w:rsidRDefault="00082B62" w:rsidP="0090435F">
            <w:pPr>
              <w:spacing w:line="284" w:lineRule="exact"/>
              <w:rPr>
                <w:rFonts w:ascii="宋体" w:hAnsi="宋体"/>
              </w:rPr>
            </w:pPr>
            <w:r>
              <w:rPr>
                <w:rFonts w:ascii="宋体" w:hAnsi="宋体" w:hint="eastAsia"/>
              </w:rPr>
              <w:t>化</w:t>
            </w:r>
          </w:p>
          <w:p w:rsidR="00082B62" w:rsidRDefault="00082B62" w:rsidP="0090435F">
            <w:pPr>
              <w:spacing w:line="284" w:lineRule="exact"/>
              <w:rPr>
                <w:rFonts w:ascii="宋体" w:hAnsi="宋体"/>
              </w:rPr>
            </w:pPr>
            <w:r>
              <w:rPr>
                <w:rFonts w:ascii="宋体" w:hAnsi="宋体" w:hint="eastAsia"/>
              </w:rPr>
              <w:t>性</w:t>
            </w:r>
          </w:p>
          <w:p w:rsidR="00082B62" w:rsidRDefault="00082B62" w:rsidP="0090435F">
            <w:pPr>
              <w:spacing w:line="28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外观与性状：黄色针状结晶。</w:t>
            </w:r>
          </w:p>
        </w:tc>
      </w:tr>
      <w:tr w:rsidR="00082B62"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溶解性 ：微溶于水、二硫化碳，溶于热水、热乙醇、乙醚、苯。</w:t>
            </w:r>
          </w:p>
        </w:tc>
      </w:tr>
      <w:tr w:rsidR="00082B62"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熔点（℃）：115～116</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沸点（℃）：140(1.33kPa)</w:t>
            </w:r>
          </w:p>
        </w:tc>
      </w:tr>
      <w:tr w:rsidR="00082B62"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相对密度（水＝1）：无资料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相对密度（空气＝1）：无资料</w:t>
            </w:r>
          </w:p>
        </w:tc>
      </w:tr>
      <w:tr w:rsidR="00082B62"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燃烧热（kJ/mol）：无资料</w:t>
            </w:r>
          </w:p>
        </w:tc>
      </w:tr>
      <w:tr w:rsidR="00082B62"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临界温度（℃）：</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临界压力（MPa）：</w:t>
            </w:r>
          </w:p>
        </w:tc>
      </w:tr>
      <w:tr w:rsidR="00082B62"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燃</w:t>
            </w:r>
          </w:p>
          <w:p w:rsidR="00082B62" w:rsidRDefault="00082B62" w:rsidP="0090435F">
            <w:pPr>
              <w:spacing w:line="284" w:lineRule="exact"/>
              <w:rPr>
                <w:rFonts w:ascii="宋体" w:hAnsi="宋体"/>
              </w:rPr>
            </w:pPr>
            <w:r>
              <w:rPr>
                <w:rFonts w:ascii="宋体" w:hAnsi="宋体" w:hint="eastAsia"/>
              </w:rPr>
              <w:t>烧</w:t>
            </w:r>
          </w:p>
          <w:p w:rsidR="00082B62" w:rsidRDefault="00082B62" w:rsidP="0090435F">
            <w:pPr>
              <w:spacing w:line="284" w:lineRule="exact"/>
              <w:rPr>
                <w:rFonts w:ascii="宋体" w:hAnsi="宋体"/>
              </w:rPr>
            </w:pPr>
            <w:r>
              <w:rPr>
                <w:rFonts w:ascii="宋体" w:hAnsi="宋体" w:hint="eastAsia"/>
              </w:rPr>
              <w:t>爆</w:t>
            </w:r>
          </w:p>
          <w:p w:rsidR="00082B62" w:rsidRDefault="00082B62" w:rsidP="0090435F">
            <w:pPr>
              <w:spacing w:line="284" w:lineRule="exact"/>
              <w:rPr>
                <w:rFonts w:ascii="宋体" w:hAnsi="宋体"/>
              </w:rPr>
            </w:pPr>
            <w:r>
              <w:rPr>
                <w:rFonts w:ascii="宋体" w:hAnsi="宋体" w:hint="eastAsia"/>
              </w:rPr>
              <w:t>炸</w:t>
            </w:r>
          </w:p>
          <w:p w:rsidR="00082B62" w:rsidRDefault="00082B62" w:rsidP="0090435F">
            <w:pPr>
              <w:spacing w:line="284" w:lineRule="exact"/>
              <w:rPr>
                <w:rFonts w:ascii="宋体" w:hAnsi="宋体"/>
              </w:rPr>
            </w:pPr>
            <w:r>
              <w:rPr>
                <w:rFonts w:ascii="宋体" w:hAnsi="宋体" w:hint="eastAsia"/>
              </w:rPr>
              <w:t>危</w:t>
            </w:r>
          </w:p>
          <w:p w:rsidR="00082B62" w:rsidRDefault="00082B62" w:rsidP="0090435F">
            <w:pPr>
              <w:spacing w:line="284" w:lineRule="exact"/>
              <w:rPr>
                <w:rFonts w:ascii="宋体" w:hAnsi="宋体"/>
              </w:rPr>
            </w:pPr>
            <w:r>
              <w:rPr>
                <w:rFonts w:ascii="宋体" w:hAnsi="宋体" w:hint="eastAsia"/>
              </w:rPr>
              <w:t>险</w:t>
            </w:r>
          </w:p>
          <w:p w:rsidR="00082B62" w:rsidRDefault="00082B62" w:rsidP="0090435F">
            <w:pPr>
              <w:spacing w:line="284" w:lineRule="exact"/>
              <w:rPr>
                <w:rFonts w:ascii="宋体" w:hAnsi="宋体"/>
              </w:rPr>
            </w:pPr>
            <w:r>
              <w:rPr>
                <w:rFonts w:ascii="宋体" w:hAnsi="宋体" w:hint="eastAsia"/>
              </w:rPr>
              <w:t>性</w:t>
            </w: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燃烧性：可燃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闪点（℃）：&gt;250</w:t>
            </w:r>
          </w:p>
        </w:tc>
      </w:tr>
      <w:tr w:rsidR="00082B62" w:rsidTr="0090435F">
        <w:trPr>
          <w:cantSplit/>
          <w:jc w:val="center"/>
        </w:trPr>
        <w:tc>
          <w:tcPr>
            <w:tcW w:w="493" w:type="dxa"/>
            <w:vMerge/>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vertAlign w:val="superscript"/>
              </w:rPr>
            </w:pPr>
            <w:r>
              <w:rPr>
                <w:rFonts w:ascii="宋体" w:hAnsi="宋体" w:hint="eastAsia"/>
              </w:rPr>
              <w:t>爆炸下限（%）：无资料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爆炸上限（%）：无资料</w:t>
            </w:r>
          </w:p>
        </w:tc>
      </w:tr>
      <w:tr w:rsidR="00082B62" w:rsidTr="0090435F">
        <w:trPr>
          <w:cantSplit/>
          <w:jc w:val="center"/>
        </w:trPr>
        <w:tc>
          <w:tcPr>
            <w:tcW w:w="493" w:type="dxa"/>
            <w:vMerge/>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引燃温度（℃）：无资料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最小点火能（mJ）：无资料</w:t>
            </w:r>
          </w:p>
        </w:tc>
      </w:tr>
      <w:tr w:rsidR="00082B62" w:rsidTr="0090435F">
        <w:trPr>
          <w:cantSplit/>
          <w:jc w:val="center"/>
        </w:trPr>
        <w:tc>
          <w:tcPr>
            <w:tcW w:w="493" w:type="dxa"/>
            <w:vMerge/>
            <w:tcBorders>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稳定性：</w:t>
            </w:r>
          </w:p>
        </w:tc>
      </w:tr>
      <w:tr w:rsidR="00082B62" w:rsidTr="0090435F">
        <w:trPr>
          <w:cantSplit/>
          <w:jc w:val="center"/>
        </w:trPr>
        <w:tc>
          <w:tcPr>
            <w:tcW w:w="493" w:type="dxa"/>
            <w:vMerge/>
            <w:tcBorders>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 xml:space="preserve">聚合危害：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燃烧分解产物: 一氧化碳、二氧化碳、氮氧化物。</w:t>
            </w:r>
          </w:p>
        </w:tc>
      </w:tr>
      <w:tr w:rsidR="00082B62" w:rsidTr="0090435F">
        <w:trPr>
          <w:cantSplit/>
          <w:jc w:val="center"/>
        </w:trPr>
        <w:tc>
          <w:tcPr>
            <w:tcW w:w="493" w:type="dxa"/>
            <w:vMerge/>
            <w:tcBorders>
              <w:left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避免接触的条件：光照。</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禁忌物：强氧化剂、酸酐、酰基氯、强酸。</w:t>
            </w:r>
          </w:p>
        </w:tc>
      </w:tr>
      <w:tr w:rsidR="00082B62" w:rsidTr="0090435F">
        <w:trPr>
          <w:cantSplit/>
          <w:jc w:val="center"/>
        </w:trPr>
        <w:tc>
          <w:tcPr>
            <w:tcW w:w="493" w:type="dxa"/>
            <w:vMerge/>
            <w:tcBorders>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危险特性: 遇明火、高热可燃。其粉体与空气可形成爆炸性混合物, 当达到一定浓度时, 遇火星会发生爆炸。受高热分解放出有毒的气体。</w:t>
            </w:r>
          </w:p>
        </w:tc>
      </w:tr>
      <w:tr w:rsidR="00082B62" w:rsidTr="0090435F">
        <w:trPr>
          <w:cantSplit/>
          <w:jc w:val="center"/>
        </w:trPr>
        <w:tc>
          <w:tcPr>
            <w:tcW w:w="493" w:type="dxa"/>
            <w:vMerge/>
            <w:tcBorders>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灭火方法：消防人员须佩戴防毒面具、穿全身消防服，在上风向灭火。灭火剂：雾状水、泡沫、干粉、二氧化碳、砂土。</w:t>
            </w:r>
          </w:p>
        </w:tc>
      </w:tr>
      <w:tr w:rsidR="00082B62"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毒</w:t>
            </w:r>
          </w:p>
          <w:p w:rsidR="00082B62" w:rsidRDefault="00082B62" w:rsidP="0090435F">
            <w:pPr>
              <w:spacing w:line="28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w:t>
            </w:r>
          </w:p>
          <w:p w:rsidR="00082B62" w:rsidRDefault="00082B62"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082B62"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侵入途经：吸入、食入、经皮吸收。</w:t>
            </w:r>
          </w:p>
        </w:tc>
      </w:tr>
      <w:tr w:rsidR="00082B62" w:rsidTr="0090435F">
        <w:trPr>
          <w:cantSplit/>
          <w:jc w:val="center"/>
        </w:trPr>
        <w:tc>
          <w:tcPr>
            <w:tcW w:w="493" w:type="dxa"/>
            <w:vMerge/>
            <w:tcBorders>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对人体有毒。对眼睛、皮肤、粘膜和上呼吸道有刺激作用。吸收进入体内后可形成高铁血红蛋白而致紫绀。</w:t>
            </w:r>
          </w:p>
        </w:tc>
      </w:tr>
      <w:tr w:rsidR="00082B62" w:rsidTr="0090435F">
        <w:trPr>
          <w:cantSplit/>
          <w:jc w:val="center"/>
        </w:trPr>
        <w:tc>
          <w:tcPr>
            <w:tcW w:w="493" w:type="dxa"/>
            <w:tcBorders>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急</w:t>
            </w:r>
          </w:p>
          <w:p w:rsidR="00082B62" w:rsidRDefault="00082B62" w:rsidP="0090435F">
            <w:pPr>
              <w:spacing w:line="28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皮肤接触：脱去污染的衣着，用大量流动清水冲洗。  ※眼睛接触：提起眼睑，用流动清水或生理盐水冲洗。就医。   ※吸入: 迅速脱离现场至空气新鲜处。保持呼吸道通畅。如呼吸困难，给输氧。如呼吸停止，立即进行人工呼吸。就医。   ※食入: 饮足量温水，催吐。就医。</w:t>
            </w:r>
          </w:p>
        </w:tc>
      </w:tr>
      <w:tr w:rsidR="00082B62"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防</w:t>
            </w:r>
          </w:p>
          <w:p w:rsidR="00082B62" w:rsidRDefault="00082B62" w:rsidP="0090435F">
            <w:pPr>
              <w:spacing w:line="28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工程控制：密闭操作，局部排风。    ※呼吸系统防护：空气中粉尘浓度超标时，必须佩戴自吸过滤式防尘口罩。紧急事态抢救或撤离时，应该佩戴空气呼吸器。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 </w:t>
            </w:r>
          </w:p>
        </w:tc>
      </w:tr>
      <w:tr w:rsidR="00082B62"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泄</w:t>
            </w:r>
          </w:p>
          <w:p w:rsidR="00082B62" w:rsidRDefault="00082B62" w:rsidP="0090435F">
            <w:pPr>
              <w:spacing w:line="284" w:lineRule="exact"/>
              <w:rPr>
                <w:rFonts w:ascii="宋体" w:hAnsi="宋体"/>
              </w:rPr>
            </w:pPr>
            <w:r>
              <w:rPr>
                <w:rFonts w:ascii="宋体" w:hAnsi="宋体" w:hint="eastAsia"/>
              </w:rPr>
              <w:t>漏</w:t>
            </w:r>
          </w:p>
          <w:p w:rsidR="00082B62" w:rsidRDefault="00082B62" w:rsidP="0090435F">
            <w:pPr>
              <w:spacing w:line="284" w:lineRule="exact"/>
              <w:rPr>
                <w:rFonts w:ascii="宋体" w:hAnsi="宋体"/>
              </w:rPr>
            </w:pPr>
            <w:r>
              <w:rPr>
                <w:rFonts w:ascii="宋体" w:hAnsi="宋体" w:hint="eastAsia"/>
              </w:rPr>
              <w:t>处</w:t>
            </w:r>
          </w:p>
          <w:p w:rsidR="00082B62" w:rsidRDefault="00082B62" w:rsidP="0090435F">
            <w:pPr>
              <w:spacing w:line="28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隔离泄漏污染区，限制出入。切断火源。建议应急处理人员戴防尘口罩，穿防毒服。不要直接接触泄漏物。小量泄漏：避免扬尘，小心扫起，收集运至废物处理场所处置。大量泄漏：收集回收或运至废物处理场所处置。</w:t>
            </w:r>
          </w:p>
        </w:tc>
      </w:tr>
      <w:tr w:rsidR="00082B62" w:rsidTr="0090435F">
        <w:trPr>
          <w:cantSplit/>
          <w:jc w:val="center"/>
        </w:trPr>
        <w:tc>
          <w:tcPr>
            <w:tcW w:w="493" w:type="dxa"/>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储</w:t>
            </w:r>
          </w:p>
          <w:p w:rsidR="00082B62" w:rsidRDefault="00082B62" w:rsidP="0090435F">
            <w:pPr>
              <w:spacing w:line="28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082B62" w:rsidRDefault="00082B62" w:rsidP="0090435F">
            <w:pPr>
              <w:spacing w:line="284" w:lineRule="exact"/>
              <w:rPr>
                <w:rFonts w:ascii="宋体" w:hAnsi="宋体"/>
              </w:rPr>
            </w:pPr>
            <w:r>
              <w:rPr>
                <w:rFonts w:ascii="宋体" w:hAnsi="宋体" w:hint="eastAsia"/>
              </w:rPr>
              <w:t>储存于阴凉、通风的库房。远离火种、热源。防止阳光直射。包装密封。应与氧化剂、酸酐、酰基氯、酸类、食用化学品分开存放，切忌混储。配备相应品种和数量的消防器材。储区应备有合适的材料收容泄漏物。</w:t>
            </w:r>
          </w:p>
          <w:p w:rsidR="00082B62" w:rsidRDefault="00082B62" w:rsidP="0090435F">
            <w:pPr>
              <w:spacing w:line="284"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62"/>
    <w:rsid w:val="00082B62"/>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5AFDA-BA15-4994-88D2-1719C226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82B62"/>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2B62"/>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zyhq</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